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rPr>
          <w:rFonts w:ascii="Courier New" w:cs="Courier New" w:hAnsi="Courier New" w:eastAsia="Courier New"/>
          <w:color w:val="3f1100"/>
          <w:sz w:val="60"/>
          <w:szCs w:val="60"/>
        </w:rPr>
      </w:pPr>
      <w:r>
        <w:rPr>
          <w:rFonts w:ascii="Courier New" w:hAnsi="Courier New"/>
          <w:color w:val="3f1100"/>
          <w:sz w:val="74"/>
          <w:szCs w:val="74"/>
          <w:rtl w:val="0"/>
          <w:lang w:val="en-US"/>
        </w:rPr>
        <w:t>Vanity</w:t>
      </w:r>
      <w:r>
        <w:rPr>
          <w:rFonts w:ascii="Courier New" w:hAnsi="Courier New"/>
          <w:color w:val="3f1100"/>
          <w:sz w:val="120"/>
          <w:szCs w:val="120"/>
          <w:rtl w:val="0"/>
          <w:lang w:val="en-US"/>
        </w:rPr>
        <w:t xml:space="preserve"> </w:t>
      </w:r>
      <w:r>
        <w:rPr>
          <w:rFonts w:ascii="Courier New" w:hAnsi="Courier New"/>
          <w:color w:val="3f1100"/>
          <w:sz w:val="50"/>
          <w:szCs w:val="50"/>
          <w:rtl w:val="0"/>
          <w:lang w:val="en-US"/>
        </w:rPr>
        <w:t>by Hans Memling</w:t>
      </w:r>
      <w:r>
        <w:rPr>
          <w:rFonts w:ascii="Courier New" w:cs="Courier New" w:hAnsi="Courier New" w:eastAsia="Courier New"/>
          <w:color w:val="3f1100"/>
          <w:sz w:val="50"/>
          <w:szCs w:val="50"/>
        </w:rPr>
        <w:drawing>
          <wp:anchor distT="152400" distB="152400" distL="152400" distR="152400" simplePos="0" relativeHeight="251659264" behindDoc="0" locked="0" layoutInCell="1" allowOverlap="1">
            <wp:simplePos x="0" y="0"/>
            <wp:positionH relativeFrom="margin">
              <wp:posOffset>-213374</wp:posOffset>
            </wp:positionH>
            <wp:positionV relativeFrom="page">
              <wp:posOffset>0</wp:posOffset>
            </wp:positionV>
            <wp:extent cx="6776143" cy="10692004"/>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26vani11.jpg"/>
                    <pic:cNvPicPr>
                      <a:picLocks noChangeAspect="1"/>
                    </pic:cNvPicPr>
                  </pic:nvPicPr>
                  <pic:blipFill>
                    <a:blip r:embed="rId4">
                      <a:alphaModFix amt="29286"/>
                      <a:extLst/>
                    </a:blip>
                    <a:stretch>
                      <a:fillRect/>
                    </a:stretch>
                  </pic:blipFill>
                  <pic:spPr>
                    <a:xfrm>
                      <a:off x="0" y="0"/>
                      <a:ext cx="6776143" cy="10692004"/>
                    </a:xfrm>
                    <a:prstGeom prst="rect">
                      <a:avLst/>
                    </a:prstGeom>
                    <a:ln w="12700" cap="flat">
                      <a:noFill/>
                      <a:miter lim="400000"/>
                    </a:ln>
                    <a:effectLst/>
                  </pic:spPr>
                </pic:pic>
              </a:graphicData>
            </a:graphic>
          </wp:anchor>
        </w:drawing>
      </w:r>
    </w:p>
    <w:p>
      <w:pPr>
        <w:pStyle w:val="Body"/>
        <w:rPr>
          <w:rFonts w:ascii="Courier New" w:cs="Courier New" w:hAnsi="Courier New" w:eastAsia="Courier New"/>
          <w:color w:val="3f1100"/>
          <w:sz w:val="30"/>
          <w:szCs w:val="30"/>
        </w:rPr>
      </w:pPr>
      <w:r>
        <w:rPr>
          <w:rFonts w:ascii="Courier New" w:hAnsi="Courier New"/>
          <w:color w:val="3f1100"/>
          <w:sz w:val="28"/>
          <w:szCs w:val="28"/>
          <w:rtl w:val="0"/>
          <w:lang w:val="en-US"/>
        </w:rPr>
        <w:t>Maya Fenwick, Drawing and Print</w:t>
      </w:r>
      <w:r>
        <w:rPr>
          <w:rFonts w:ascii="Courier New" w:cs="Courier New" w:hAnsi="Courier New" w:eastAsia="Courier New"/>
          <w:color w:val="3f1100"/>
          <w:sz w:val="28"/>
          <w:szCs w:val="28"/>
        </w:rPr>
        <w:drawing>
          <wp:anchor distT="152400" distB="152400" distL="152400" distR="152400" simplePos="0" relativeHeight="251660288" behindDoc="0" locked="0" layoutInCell="1" allowOverlap="1">
            <wp:simplePos x="0" y="0"/>
            <wp:positionH relativeFrom="margin">
              <wp:posOffset>3566094</wp:posOffset>
            </wp:positionH>
            <wp:positionV relativeFrom="line">
              <wp:posOffset>310602</wp:posOffset>
            </wp:positionV>
            <wp:extent cx="2996673" cy="4728418"/>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26vani11.jpg"/>
                    <pic:cNvPicPr>
                      <a:picLocks noChangeAspect="1"/>
                    </pic:cNvPicPr>
                  </pic:nvPicPr>
                  <pic:blipFill>
                    <a:blip r:embed="rId4">
                      <a:extLst/>
                    </a:blip>
                    <a:stretch>
                      <a:fillRect/>
                    </a:stretch>
                  </pic:blipFill>
                  <pic:spPr>
                    <a:xfrm>
                      <a:off x="0" y="0"/>
                      <a:ext cx="2996673" cy="4728418"/>
                    </a:xfrm>
                    <a:prstGeom prst="rect">
                      <a:avLst/>
                    </a:prstGeom>
                    <a:ln w="12700" cap="flat">
                      <a:noFill/>
                      <a:miter lim="400000"/>
                    </a:ln>
                    <a:effectLst/>
                  </pic:spPr>
                </pic:pic>
              </a:graphicData>
            </a:graphic>
          </wp:anchor>
        </w:drawing>
      </w:r>
    </w:p>
    <w:p>
      <w:pPr>
        <w:pStyle w:val="Body"/>
        <w:rPr>
          <w:rFonts w:ascii="Courier New" w:cs="Courier New" w:hAnsi="Courier New" w:eastAsia="Courier New"/>
          <w:color w:val="3f1100"/>
          <w:sz w:val="30"/>
          <w:szCs w:val="30"/>
        </w:rPr>
      </w:pPr>
    </w:p>
    <w:p>
      <w:pPr>
        <w:pStyle w:val="Body"/>
        <w:rPr>
          <w:rFonts w:ascii="Courier New" w:cs="Courier New" w:hAnsi="Courier New" w:eastAsia="Courier New"/>
          <w:color w:val="3f1100"/>
          <w:sz w:val="32"/>
          <w:szCs w:val="32"/>
        </w:rPr>
      </w:pPr>
      <w:r>
        <w:rPr>
          <w:rFonts w:ascii="Courier New" w:hAnsi="Courier New" w:hint="default"/>
          <w:i w:val="1"/>
          <w:iCs w:val="1"/>
          <w:color w:val="3f1100"/>
          <w:sz w:val="32"/>
          <w:szCs w:val="32"/>
          <w:rtl w:val="0"/>
          <w:lang w:val="en-US"/>
        </w:rPr>
        <w:t>“</w:t>
      </w:r>
      <w:r>
        <w:rPr>
          <w:rFonts w:ascii="Courier New" w:hAnsi="Courier New"/>
          <w:i w:val="1"/>
          <w:iCs w:val="1"/>
          <w:color w:val="3f1100"/>
          <w:sz w:val="32"/>
          <w:szCs w:val="32"/>
          <w:rtl w:val="0"/>
          <w:lang w:val="en-US"/>
        </w:rPr>
        <w:t>Present a detailed critical analysis, of a cultural text.</w:t>
      </w:r>
      <w:r>
        <w:rPr>
          <w:rFonts w:ascii="Courier New" w:hAnsi="Courier New" w:hint="default"/>
          <w:i w:val="1"/>
          <w:iCs w:val="1"/>
          <w:color w:val="3f1100"/>
          <w:sz w:val="32"/>
          <w:szCs w:val="32"/>
          <w:rtl w:val="0"/>
          <w:lang w:val="en-US"/>
        </w:rPr>
        <w:t>”</w:t>
      </w:r>
      <w:r>
        <w:rPr>
          <w:rFonts w:ascii="Courier New" w:hAnsi="Courier New"/>
          <w:color w:val="3f1100"/>
          <w:sz w:val="32"/>
          <w:szCs w:val="32"/>
          <w:rtl w:val="0"/>
          <w:lang w:val="en-US"/>
        </w:rPr>
        <w:t xml:space="preserve"> </w:t>
      </w:r>
    </w:p>
    <w:p>
      <w:pPr>
        <w:pStyle w:val="Body"/>
        <w:rPr>
          <w:rFonts w:ascii="Courier New" w:cs="Courier New" w:hAnsi="Courier New" w:eastAsia="Courier New"/>
          <w:color w:val="3f1100"/>
          <w:sz w:val="26"/>
          <w:szCs w:val="26"/>
        </w:rPr>
      </w:pPr>
    </w:p>
    <w:p>
      <w:pPr>
        <w:pStyle w:val="Body"/>
        <w:rPr>
          <w:rFonts w:ascii="Courier New" w:cs="Courier New" w:hAnsi="Courier New" w:eastAsia="Courier New"/>
          <w:color w:val="3f1100"/>
          <w:sz w:val="26"/>
          <w:szCs w:val="26"/>
        </w:rPr>
      </w:pPr>
      <w:r>
        <w:rPr>
          <w:rFonts w:ascii="Courier New" w:hAnsi="Courier New"/>
          <w:color w:val="3f1100"/>
          <w:sz w:val="26"/>
          <w:szCs w:val="26"/>
          <w:rtl w:val="0"/>
          <w:lang w:val="en-US"/>
        </w:rPr>
        <w:t>Key Words: Male Gaze, Nude, Vanity, Hypocrisy, Sexualised, 1430, 15th Century, Europe, 1972.</w:t>
      </w:r>
    </w:p>
    <w:p>
      <w:pPr>
        <w:pStyle w:val="Body"/>
        <w:rPr>
          <w:rFonts w:ascii="Courier New" w:cs="Courier New" w:hAnsi="Courier New" w:eastAsia="Courier New"/>
          <w:color w:val="3f1100"/>
          <w:sz w:val="30"/>
          <w:szCs w:val="30"/>
        </w:rPr>
      </w:pPr>
    </w:p>
    <w:p>
      <w:pPr>
        <w:pStyle w:val="Body"/>
      </w:pPr>
      <w:r>
        <w:rPr>
          <w:rFonts w:ascii="Courier New" w:hAnsi="Courier New"/>
          <w:color w:val="3f1100"/>
          <w:sz w:val="28"/>
          <w:szCs w:val="28"/>
          <w:rtl w:val="0"/>
          <w:lang w:val="en-US"/>
        </w:rPr>
        <w:t xml:space="preserve">My Visual Artefact for the essay will be a piece called </w:t>
      </w:r>
      <w:r>
        <w:rPr>
          <w:rFonts w:ascii="Courier New" w:hAnsi="Courier New" w:hint="default"/>
          <w:color w:val="3f1100"/>
          <w:sz w:val="28"/>
          <w:szCs w:val="28"/>
          <w:rtl w:val="0"/>
          <w:lang w:val="en-US"/>
        </w:rPr>
        <w:t>“</w:t>
      </w:r>
      <w:r>
        <w:rPr>
          <w:rFonts w:ascii="Courier New" w:hAnsi="Courier New"/>
          <w:color w:val="3f1100"/>
          <w:sz w:val="28"/>
          <w:szCs w:val="28"/>
          <w:rtl w:val="0"/>
          <w:lang w:val="en-US"/>
        </w:rPr>
        <w:t>Vanity</w:t>
      </w:r>
      <w:r>
        <w:rPr>
          <w:rFonts w:ascii="Courier New" w:hAnsi="Courier New" w:hint="default"/>
          <w:color w:val="3f1100"/>
          <w:sz w:val="28"/>
          <w:szCs w:val="28"/>
          <w:rtl w:val="0"/>
          <w:lang w:val="en-US"/>
        </w:rPr>
        <w:t xml:space="preserve">” </w:t>
      </w:r>
      <w:r>
        <w:rPr>
          <w:rFonts w:ascii="Courier New" w:hAnsi="Courier New"/>
          <w:color w:val="3f1100"/>
          <w:sz w:val="28"/>
          <w:szCs w:val="28"/>
          <w:rtl w:val="0"/>
          <w:lang w:val="en-US"/>
        </w:rPr>
        <w:t>from Hans Memling</w:t>
      </w:r>
      <w:r>
        <w:rPr>
          <w:rFonts w:ascii="Courier New" w:hAnsi="Courier New" w:hint="default"/>
          <w:color w:val="3f1100"/>
          <w:sz w:val="28"/>
          <w:szCs w:val="28"/>
          <w:rtl w:val="0"/>
          <w:lang w:val="en-US"/>
        </w:rPr>
        <w:t>’</w:t>
      </w:r>
      <w:r>
        <w:rPr>
          <w:rFonts w:ascii="Courier New" w:hAnsi="Courier New"/>
          <w:color w:val="3f1100"/>
          <w:sz w:val="28"/>
          <w:szCs w:val="28"/>
          <w:rtl w:val="0"/>
          <w:lang w:val="en-US"/>
        </w:rPr>
        <w:t>s triptych Earthly Vanity made in 1485. I will discuss it through John Berger</w:t>
      </w:r>
      <w:r>
        <w:rPr>
          <w:rFonts w:ascii="Courier New" w:hAnsi="Courier New" w:hint="default"/>
          <w:color w:val="3f1100"/>
          <w:sz w:val="28"/>
          <w:szCs w:val="28"/>
          <w:rtl w:val="0"/>
          <w:lang w:val="en-US"/>
        </w:rPr>
        <w:t>’</w:t>
      </w:r>
      <w:r>
        <w:rPr>
          <w:rFonts w:ascii="Courier New" w:hAnsi="Courier New"/>
          <w:color w:val="3f1100"/>
          <w:sz w:val="28"/>
          <w:szCs w:val="28"/>
          <w:rtl w:val="0"/>
          <w:lang w:val="en-US"/>
        </w:rPr>
        <w:t xml:space="preserve">s theory of male gaze that he discussed in his </w:t>
      </w:r>
      <w:r>
        <w:rPr>
          <w:rFonts w:ascii="Courier New" w:hAnsi="Courier New" w:hint="default"/>
          <w:color w:val="3f1100"/>
          <w:sz w:val="28"/>
          <w:szCs w:val="28"/>
          <w:rtl w:val="0"/>
          <w:lang w:val="en-US"/>
        </w:rPr>
        <w:t>“</w:t>
      </w:r>
      <w:r>
        <w:rPr>
          <w:rFonts w:ascii="Courier New" w:hAnsi="Courier New"/>
          <w:color w:val="3f1100"/>
          <w:sz w:val="28"/>
          <w:szCs w:val="28"/>
          <w:rtl w:val="0"/>
          <w:lang w:val="en-US"/>
        </w:rPr>
        <w:t>Ways of Seeing</w:t>
      </w:r>
      <w:r>
        <w:rPr>
          <w:rFonts w:ascii="Courier New" w:hAnsi="Courier New" w:hint="default"/>
          <w:color w:val="3f1100"/>
          <w:sz w:val="28"/>
          <w:szCs w:val="28"/>
          <w:rtl w:val="0"/>
          <w:lang w:val="en-US"/>
        </w:rPr>
        <w:t xml:space="preserve">” </w:t>
      </w:r>
      <w:r>
        <w:rPr>
          <w:rFonts w:ascii="Courier New" w:hAnsi="Courier New"/>
          <w:color w:val="3f1100"/>
          <w:sz w:val="28"/>
          <w:szCs w:val="28"/>
          <w:rtl w:val="0"/>
          <w:lang w:val="en-US"/>
        </w:rPr>
        <w:t>book, published in 1972. I will be using this theory because his views are very pro feminism and as a male writer his writing was ahead of it</w:t>
      </w:r>
      <w:r>
        <w:rPr>
          <w:rFonts w:ascii="Courier New" w:hAnsi="Courier New" w:hint="default"/>
          <w:color w:val="3f1100"/>
          <w:sz w:val="28"/>
          <w:szCs w:val="28"/>
          <w:rtl w:val="0"/>
          <w:lang w:val="en-US"/>
        </w:rPr>
        <w:t>’</w:t>
      </w:r>
      <w:r>
        <w:rPr>
          <w:rFonts w:ascii="Courier New" w:hAnsi="Courier New"/>
          <w:color w:val="3f1100"/>
          <w:sz w:val="28"/>
          <w:szCs w:val="28"/>
          <w:rtl w:val="0"/>
          <w:lang w:val="en-US"/>
        </w:rPr>
        <w:t>s time and carried a lot of weight, whereas a woman with the same opinions in 1972 would not have been given that platform. I also find it interesting how, as a male, he is able to see flaws with male behaviour, which in 1972 was also uncommon. I will also shortly discuss other European paintings during the 15th century to compare the issues stated as a continuous theme in female nude paintings. I am also interest in how feminism throughout the years has changed our mind frames about pieces such as this, and how we are now able to recognise all of the negative aspects of how women were portrayed in and around the 15th century. I will also discuss the ideology surrounding women</w:t>
      </w:r>
      <w:r>
        <w:rPr>
          <w:rFonts w:ascii="Courier New" w:hAnsi="Courier New" w:hint="default"/>
          <w:color w:val="3f1100"/>
          <w:sz w:val="28"/>
          <w:szCs w:val="28"/>
          <w:rtl w:val="0"/>
          <w:lang w:val="en-US"/>
        </w:rPr>
        <w:t>’</w:t>
      </w:r>
      <w:r>
        <w:rPr>
          <w:rFonts w:ascii="Courier New" w:hAnsi="Courier New"/>
          <w:color w:val="3f1100"/>
          <w:sz w:val="28"/>
          <w:szCs w:val="28"/>
          <w:rtl w:val="0"/>
          <w:lang w:val="en-US"/>
        </w:rPr>
        <w:t>s bodies that contributed to this painting, and how it is still deep rooted in today</w:t>
      </w:r>
      <w:r>
        <w:rPr>
          <w:rFonts w:ascii="Courier New" w:hAnsi="Courier New" w:hint="default"/>
          <w:color w:val="3f1100"/>
          <w:sz w:val="28"/>
          <w:szCs w:val="28"/>
          <w:rtl w:val="0"/>
          <w:lang w:val="en-US"/>
        </w:rPr>
        <w:t>’</w:t>
      </w:r>
      <w:r>
        <w:rPr>
          <w:rFonts w:ascii="Courier New" w:hAnsi="Courier New"/>
          <w:color w:val="3f1100"/>
          <w:sz w:val="28"/>
          <w:szCs w:val="28"/>
          <w:rtl w:val="0"/>
          <w:lang w:val="en-US"/>
        </w:rPr>
        <w:t>s society, causing body shaming and confidence issues amongst most women despite feminist efforts.</w:t>
      </w:r>
    </w:p>
    <w:sectPr>
      <w:headerReference w:type="default" r:id="rId5"/>
      <w:footerReference w:type="default" r:id="rId6"/>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